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33A580">
      <w:pPr>
        <w:spacing w:before="84" w:line="219" w:lineRule="auto"/>
        <w:ind w:left="0" w:leftChars="0" w:firstLine="0" w:firstLineChars="0"/>
        <w:jc w:val="center"/>
        <w:rPr>
          <w:rFonts w:hint="eastAsia" w:ascii="宋体" w:hAnsi="宋体" w:eastAsia="宋体" w:cs="宋体"/>
          <w:b/>
          <w:bCs/>
          <w:i w:val="0"/>
          <w:iCs w:val="0"/>
          <w:caps w:val="0"/>
          <w:color w:val="2A2F35"/>
          <w:spacing w:val="0"/>
          <w:sz w:val="28"/>
          <w:szCs w:val="28"/>
        </w:rPr>
      </w:pPr>
      <w:r>
        <w:rPr>
          <w:rFonts w:hint="eastAsia" w:ascii="宋体" w:hAnsi="宋体" w:eastAsia="宋体" w:cs="宋体"/>
          <w:b/>
          <w:bCs/>
          <w:i w:val="0"/>
          <w:iCs w:val="0"/>
          <w:caps w:val="0"/>
          <w:color w:val="2A2F35"/>
          <w:spacing w:val="0"/>
          <w:kern w:val="0"/>
          <w:sz w:val="28"/>
          <w:szCs w:val="28"/>
          <w:shd w:val="clear" w:fill="FFFFFF"/>
          <w:lang w:val="en-US" w:eastAsia="zh-CN" w:bidi="ar"/>
        </w:rPr>
        <w:t>西昌学院关于组织申报“第十届教育部科学研究优秀成果奖(人文社会科学)‘教育科学研究’专区”申报工作的通知</w:t>
      </w:r>
    </w:p>
    <w:p w14:paraId="001B750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360" w:lineRule="auto"/>
        <w:ind w:left="0" w:right="0" w:firstLine="0" w:firstLineChars="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p>
    <w:p w14:paraId="159A4AD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360" w:lineRule="auto"/>
        <w:ind w:left="0" w:leftChars="0" w:right="0" w:firstLine="0" w:firstLineChars="0"/>
        <w:jc w:val="both"/>
        <w:textAlignment w:val="auto"/>
        <w:rPr>
          <w:rFonts w:hint="eastAsia" w:ascii="宋体" w:hAnsi="宋体" w:eastAsia="宋体" w:cs="宋体"/>
          <w:i w:val="0"/>
          <w:iCs w:val="0"/>
          <w:caps w:val="0"/>
          <w:color w:val="2A2F35"/>
          <w:spacing w:val="0"/>
          <w:sz w:val="24"/>
          <w:szCs w:val="24"/>
        </w:rPr>
      </w:pPr>
      <w:r>
        <w:rPr>
          <w:rFonts w:hint="eastAsia" w:ascii="宋体" w:hAnsi="宋体" w:eastAsia="宋体" w:cs="宋体"/>
          <w:i w:val="0"/>
          <w:iCs w:val="0"/>
          <w:caps w:val="0"/>
          <w:color w:val="2A2F35"/>
          <w:spacing w:val="0"/>
          <w:kern w:val="0"/>
          <w:sz w:val="24"/>
          <w:szCs w:val="24"/>
          <w:shd w:val="clear" w:fill="FFFFFF"/>
          <w:lang w:val="en-US" w:eastAsia="zh-CN" w:bidi="ar"/>
        </w:rPr>
        <w:t>学校各单位、教师：</w:t>
      </w:r>
    </w:p>
    <w:p w14:paraId="66066F09">
      <w:pPr>
        <w:keepNext w:val="0"/>
        <w:keepLines w:val="0"/>
        <w:pageBreakBefore w:val="0"/>
        <w:kinsoku/>
        <w:wordWrap/>
        <w:overflowPunct/>
        <w:topLinePunct w:val="0"/>
        <w:autoSpaceDE/>
        <w:autoSpaceDN/>
        <w:bidi w:val="0"/>
        <w:adjustRightInd/>
        <w:snapToGrid/>
        <w:spacing w:line="360" w:lineRule="auto"/>
        <w:ind w:left="0" w:right="0" w:firstLine="480" w:firstLineChars="200"/>
        <w:jc w:val="both"/>
        <w:textAlignment w:val="auto"/>
        <w:rPr>
          <w:rFonts w:hint="default"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根据《四川省教育科学规划领导小组办公室关于开展“第十届教育部科学研究优秀成果奖(人文社会科学)‘教育科学研究’专区”申报的通知》要求</w:t>
      </w:r>
      <w:r>
        <w:rPr>
          <w:rFonts w:hint="eastAsia" w:ascii="宋体" w:hAnsi="宋体" w:eastAsia="宋体" w:cs="宋体"/>
          <w:b/>
          <w:bCs/>
          <w:i w:val="0"/>
          <w:iCs w:val="0"/>
          <w:caps w:val="0"/>
          <w:color w:val="2A2F35"/>
          <w:spacing w:val="0"/>
          <w:kern w:val="0"/>
          <w:sz w:val="24"/>
          <w:szCs w:val="24"/>
          <w:shd w:val="clear" w:fill="FFFFFF"/>
          <w:lang w:val="en-US" w:eastAsia="zh-CN" w:bidi="ar"/>
        </w:rPr>
        <w:t>（附件1），</w:t>
      </w:r>
      <w:r>
        <w:rPr>
          <w:rFonts w:hint="eastAsia" w:ascii="宋体" w:hAnsi="宋体" w:eastAsia="宋体" w:cs="宋体"/>
          <w:i w:val="0"/>
          <w:iCs w:val="0"/>
          <w:caps w:val="0"/>
          <w:color w:val="2A2F35"/>
          <w:spacing w:val="0"/>
          <w:kern w:val="0"/>
          <w:sz w:val="24"/>
          <w:szCs w:val="24"/>
          <w:shd w:val="clear" w:fill="FFFFFF"/>
          <w:lang w:val="en-US" w:eastAsia="zh-CN" w:bidi="ar"/>
        </w:rPr>
        <w:t>现将申报工作有关事项通知如下。</w:t>
      </w:r>
    </w:p>
    <w:p w14:paraId="5EE4E88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360" w:lineRule="auto"/>
        <w:ind w:left="0" w:right="0" w:firstLine="0" w:firstLineChars="0"/>
        <w:jc w:val="both"/>
        <w:textAlignment w:val="auto"/>
        <w:rPr>
          <w:rFonts w:hint="eastAsia" w:ascii="宋体" w:hAnsi="宋体" w:eastAsia="宋体" w:cs="宋体"/>
          <w:i w:val="0"/>
          <w:iCs w:val="0"/>
          <w:caps w:val="0"/>
          <w:color w:val="2A2F35"/>
          <w:spacing w:val="0"/>
          <w:sz w:val="24"/>
          <w:szCs w:val="24"/>
        </w:rPr>
      </w:pPr>
    </w:p>
    <w:p w14:paraId="228760C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360" w:lineRule="auto"/>
        <w:ind w:left="0" w:right="0" w:firstLine="0" w:firstLineChars="0"/>
        <w:jc w:val="both"/>
        <w:textAlignment w:val="auto"/>
        <w:rPr>
          <w:rFonts w:hint="eastAsia" w:ascii="宋体" w:hAnsi="宋体" w:eastAsia="宋体" w:cs="宋体"/>
          <w:b/>
          <w:bCs/>
          <w:i w:val="0"/>
          <w:iCs w:val="0"/>
          <w:caps w:val="0"/>
          <w:color w:val="2A2F35"/>
          <w:spacing w:val="0"/>
          <w:sz w:val="24"/>
          <w:szCs w:val="24"/>
        </w:rPr>
      </w:pPr>
      <w:r>
        <w:rPr>
          <w:rFonts w:hint="eastAsia" w:ascii="宋体" w:hAnsi="宋体" w:eastAsia="宋体" w:cs="宋体"/>
          <w:b/>
          <w:bCs/>
          <w:i w:val="0"/>
          <w:iCs w:val="0"/>
          <w:caps w:val="0"/>
          <w:color w:val="2A2F35"/>
          <w:spacing w:val="0"/>
          <w:kern w:val="0"/>
          <w:sz w:val="24"/>
          <w:szCs w:val="24"/>
          <w:shd w:val="clear" w:fill="FFFFFF"/>
          <w:lang w:val="en-US" w:eastAsia="zh-CN" w:bidi="ar"/>
        </w:rPr>
        <w:t>一、申报要求</w:t>
      </w:r>
    </w:p>
    <w:p w14:paraId="157B86D3">
      <w:pPr>
        <w:pStyle w:val="3"/>
        <w:keepNext w:val="0"/>
        <w:keepLines w:val="0"/>
        <w:pageBreakBefore w:val="0"/>
        <w:kinsoku/>
        <w:wordWrap/>
        <w:overflowPunct/>
        <w:topLinePunct w:val="0"/>
        <w:autoSpaceDE/>
        <w:autoSpaceDN/>
        <w:bidi w:val="0"/>
        <w:adjustRightInd/>
        <w:snapToGrid/>
        <w:spacing w:line="360" w:lineRule="auto"/>
        <w:ind w:left="0" w:right="0" w:firstLine="480" w:firstLineChars="200"/>
        <w:jc w:val="both"/>
        <w:textAlignment w:val="auto"/>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教育科学研究专区设置著作论文奖、咨询服务报告奖、普及读物奖、青年成果奖。参评成果范围为2021年1月1日至2024年12月31日期间公开发表或未公开发表但被决策采纳的成果。申报者以及参评成果需符合《第十届教育部科学研究优秀成果奖(人文社会科学)“教育科学研究”专区实施办法》中的相关要求（</w:t>
      </w:r>
      <w:r>
        <w:rPr>
          <w:rFonts w:hint="eastAsia" w:ascii="宋体" w:hAnsi="宋体" w:eastAsia="宋体" w:cs="宋体"/>
          <w:b/>
          <w:bCs/>
          <w:i w:val="0"/>
          <w:iCs w:val="0"/>
          <w:caps w:val="0"/>
          <w:color w:val="000000" w:themeColor="text1"/>
          <w:spacing w:val="0"/>
          <w:kern w:val="0"/>
          <w:sz w:val="24"/>
          <w:szCs w:val="24"/>
          <w:shd w:val="clear" w:fill="FFFFFF"/>
          <w:lang w:val="en-US" w:eastAsia="zh-CN" w:bidi="ar"/>
          <w14:textFill>
            <w14:solidFill>
              <w14:schemeClr w14:val="tx1"/>
            </w14:solidFill>
          </w14:textFill>
        </w:rPr>
        <w:t>附件1</w:t>
      </w: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w:t>
      </w:r>
    </w:p>
    <w:p w14:paraId="23A674F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360" w:lineRule="auto"/>
        <w:ind w:left="0" w:right="0" w:firstLine="0" w:firstLineChars="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b/>
          <w:bCs/>
          <w:i w:val="0"/>
          <w:iCs w:val="0"/>
          <w:caps w:val="0"/>
          <w:color w:val="2A2F35"/>
          <w:spacing w:val="0"/>
          <w:kern w:val="0"/>
          <w:sz w:val="24"/>
          <w:szCs w:val="24"/>
          <w:shd w:val="clear" w:fill="FFFFFF"/>
          <w:lang w:val="en-US" w:eastAsia="zh-CN" w:bidi="ar"/>
        </w:rPr>
        <w:t>二、申报限额</w:t>
      </w:r>
    </w:p>
    <w:p w14:paraId="0A941B8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360" w:lineRule="auto"/>
        <w:ind w:left="0" w:right="0" w:firstLine="480" w:firstLineChars="200"/>
        <w:jc w:val="both"/>
        <w:textAlignment w:val="auto"/>
        <w:rPr>
          <w:rFonts w:hint="eastAsia" w:ascii="宋体" w:hAnsi="宋体" w:eastAsia="宋体" w:cs="宋体"/>
          <w:b/>
          <w:bCs/>
          <w:i w:val="0"/>
          <w:iCs w:val="0"/>
          <w:caps w:val="0"/>
          <w:color w:val="000000" w:themeColor="text1"/>
          <w:spacing w:val="0"/>
          <w:kern w:val="0"/>
          <w:sz w:val="24"/>
          <w:szCs w:val="24"/>
          <w:shd w:val="clear" w:fill="FFFFFF"/>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kern w:val="0"/>
          <w:sz w:val="24"/>
          <w:szCs w:val="24"/>
          <w:shd w:val="clear" w:fill="FFFFFF"/>
          <w:lang w:val="en-US" w:eastAsia="zh-CN" w:bidi="ar"/>
          <w14:textFill>
            <w14:solidFill>
              <w14:schemeClr w14:val="tx1"/>
            </w14:solidFill>
          </w14:textFill>
        </w:rPr>
        <w:t>本届教育科学研究专区评奖，实行限额推荐申报，省规办负责组织本省的推荐申报工作，省规办下达我校申报限额数量2项。</w:t>
      </w:r>
    </w:p>
    <w:p w14:paraId="3F47F07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p>
    <w:p w14:paraId="71630CE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b/>
          <w:bCs/>
          <w:i w:val="0"/>
          <w:iCs w:val="0"/>
          <w:caps w:val="0"/>
          <w:color w:val="2A2F35"/>
          <w:spacing w:val="0"/>
          <w:kern w:val="0"/>
          <w:sz w:val="24"/>
          <w:szCs w:val="24"/>
          <w:shd w:val="clear" w:fill="FFFFFF"/>
          <w:lang w:val="en-US" w:eastAsia="zh-CN" w:bidi="ar"/>
        </w:rPr>
        <w:t>三、校内申报流程</w:t>
      </w:r>
    </w:p>
    <w:p w14:paraId="3D4B4C6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b/>
          <w:bCs/>
          <w:i w:val="0"/>
          <w:iCs w:val="0"/>
          <w:caps w:val="0"/>
          <w:color w:val="2A2F35"/>
          <w:spacing w:val="0"/>
          <w:kern w:val="0"/>
          <w:sz w:val="24"/>
          <w:szCs w:val="24"/>
          <w:shd w:val="clear" w:fill="FFFFFF"/>
          <w:lang w:val="en-US" w:eastAsia="zh-CN" w:bidi="ar"/>
        </w:rPr>
        <w:t>（一）初评要求</w:t>
      </w:r>
    </w:p>
    <w:p w14:paraId="3F7ADC0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b/>
          <w:bCs/>
          <w:i w:val="0"/>
          <w:iCs w:val="0"/>
          <w:caps w:val="0"/>
          <w:color w:val="2A2F35"/>
          <w:spacing w:val="0"/>
          <w:kern w:val="0"/>
          <w:sz w:val="24"/>
          <w:szCs w:val="24"/>
          <w:shd w:val="clear" w:fill="FFFFFF"/>
          <w:lang w:val="en-US" w:eastAsia="zh-CN" w:bidi="ar"/>
        </w:rPr>
        <w:t>1.材料要求</w:t>
      </w:r>
    </w:p>
    <w:p w14:paraId="3782B44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负责人按照要求报送纸质材料和电子材料，具体内容包括：</w:t>
      </w:r>
    </w:p>
    <w:p w14:paraId="31E8117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（1）《第十届教育部科学研究优秀成果奖(人文社会科学)“教育科学研究”专区申报评审表》(以下简称《专区申报评审表》</w:t>
      </w:r>
      <w:r>
        <w:rPr>
          <w:rFonts w:hint="eastAsia" w:ascii="宋体" w:hAnsi="宋体" w:eastAsia="宋体" w:cs="宋体"/>
          <w:b/>
          <w:bCs/>
          <w:i w:val="0"/>
          <w:iCs w:val="0"/>
          <w:caps w:val="0"/>
          <w:color w:val="2A2F35"/>
          <w:spacing w:val="0"/>
          <w:kern w:val="0"/>
          <w:sz w:val="24"/>
          <w:szCs w:val="24"/>
          <w:shd w:val="clear" w:fill="FFFFFF"/>
          <w:lang w:val="en-US" w:eastAsia="zh-CN" w:bidi="ar"/>
        </w:rPr>
        <w:t>（附件2）</w:t>
      </w:r>
    </w:p>
    <w:p w14:paraId="799EBE4B">
      <w:pPr>
        <w:pStyle w:val="3"/>
        <w:spacing w:before="15" w:line="329" w:lineRule="auto"/>
        <w:ind w:right="7"/>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（2）《第十届教育部科学研究优秀成果奖(人文社会科学)“教育科学研究”专区申报汇总表》</w:t>
      </w:r>
      <w:r>
        <w:rPr>
          <w:rFonts w:hint="eastAsia" w:ascii="宋体" w:hAnsi="宋体" w:eastAsia="宋体" w:cs="宋体"/>
          <w:b/>
          <w:bCs/>
          <w:i w:val="0"/>
          <w:iCs w:val="0"/>
          <w:caps w:val="0"/>
          <w:color w:val="2A2F35"/>
          <w:spacing w:val="0"/>
          <w:kern w:val="0"/>
          <w:sz w:val="24"/>
          <w:szCs w:val="24"/>
          <w:shd w:val="clear" w:fill="FFFFFF"/>
          <w:lang w:val="en-US" w:eastAsia="zh-CN" w:bidi="ar"/>
        </w:rPr>
        <w:t>（附件3）</w:t>
      </w:r>
    </w:p>
    <w:p w14:paraId="41E1F40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（3）成果附件、证明材料（.pdf格式）</w:t>
      </w:r>
    </w:p>
    <w:p w14:paraId="74D187A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以上材料按“文件名称+学院+姓名”（如：第十届教育部科学研究优秀成果奖专区申报评审表+XX学院+XXX）方式分别命名；压缩后的文件按照“成果类别+姓名+第十届教育部科学研究优秀成果奖专区申报”（如：论文+XXX+第十届教育部科学研究优秀成果奖专区申报）命名，发至各科研秘书处，科研秘书汇总后，电子版发至科技处成果科刘虹杉oa，纸质版报送至科技处成果科办公室刘虹杉处（至正楼423室）。</w:t>
      </w:r>
    </w:p>
    <w:p w14:paraId="3FFCF31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b/>
          <w:bCs/>
          <w:i w:val="0"/>
          <w:iCs w:val="0"/>
          <w:caps w:val="0"/>
          <w:color w:val="2A2F35"/>
          <w:spacing w:val="0"/>
          <w:kern w:val="0"/>
          <w:sz w:val="24"/>
          <w:szCs w:val="24"/>
          <w:shd w:val="clear" w:fill="FFFFFF"/>
          <w:lang w:val="en-US" w:eastAsia="zh-CN" w:bidi="ar"/>
        </w:rPr>
        <w:t>2.报送要求</w:t>
      </w:r>
    </w:p>
    <w:p w14:paraId="3753742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（1）鉴于本届评奖实行限额申报，请有意申报的单位和教师于于10月31日17:00提交电子材料和纸质材料，科技处将组织评审择优推荐，逾期不予受理。</w:t>
      </w:r>
    </w:p>
    <w:p w14:paraId="1FBB07A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（2）各成果申报人将申报电子材料和纸质材料按要求报送至各学院科研秘书处，科研秘书汇总本学院申报材料后，填写《第十届教育部科学研究优秀成果奖(人文社会科学)“教育科学研究”专区申报汇总表》</w:t>
      </w:r>
      <w:r>
        <w:rPr>
          <w:rFonts w:hint="eastAsia" w:ascii="宋体" w:hAnsi="宋体" w:eastAsia="宋体" w:cs="宋体"/>
          <w:b/>
          <w:bCs/>
          <w:i w:val="0"/>
          <w:iCs w:val="0"/>
          <w:caps w:val="0"/>
          <w:color w:val="2A2F35"/>
          <w:spacing w:val="0"/>
          <w:kern w:val="0"/>
          <w:sz w:val="24"/>
          <w:szCs w:val="24"/>
          <w:shd w:val="clear" w:fill="FFFFFF"/>
          <w:lang w:val="en-US" w:eastAsia="zh-CN" w:bidi="ar"/>
        </w:rPr>
        <w:t>（附件3）</w:t>
      </w:r>
      <w:r>
        <w:rPr>
          <w:rFonts w:hint="eastAsia" w:ascii="宋体" w:hAnsi="宋体" w:eastAsia="宋体" w:cs="宋体"/>
          <w:i w:val="0"/>
          <w:iCs w:val="0"/>
          <w:caps w:val="0"/>
          <w:color w:val="2A2F35"/>
          <w:spacing w:val="0"/>
          <w:kern w:val="0"/>
          <w:sz w:val="24"/>
          <w:szCs w:val="24"/>
          <w:shd w:val="clear" w:fill="FFFFFF"/>
          <w:lang w:val="en-US" w:eastAsia="zh-CN" w:bidi="ar"/>
        </w:rPr>
        <w:t>，纸质版一式一份，院长签字、加盖单位公章，与申报人其他纸质材料一并报送。</w:t>
      </w:r>
    </w:p>
    <w:p w14:paraId="42A5A91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（3）所有申报成果材料需自行备份，一概不予退还。</w:t>
      </w:r>
    </w:p>
    <w:p w14:paraId="3F8371A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2A2F35"/>
          <w:spacing w:val="0"/>
          <w:kern w:val="0"/>
          <w:sz w:val="24"/>
          <w:szCs w:val="24"/>
          <w:shd w:val="clear" w:fill="FFFFFF"/>
          <w:lang w:val="en-US" w:eastAsia="zh-CN" w:bidi="ar"/>
        </w:rPr>
      </w:pPr>
      <w:r>
        <w:rPr>
          <w:rFonts w:hint="eastAsia" w:ascii="宋体" w:hAnsi="宋体" w:eastAsia="宋体" w:cs="宋体"/>
          <w:b/>
          <w:bCs/>
          <w:i w:val="0"/>
          <w:iCs w:val="0"/>
          <w:caps w:val="0"/>
          <w:color w:val="2A2F35"/>
          <w:spacing w:val="0"/>
          <w:kern w:val="0"/>
          <w:sz w:val="24"/>
          <w:szCs w:val="24"/>
          <w:shd w:val="clear" w:fill="FFFFFF"/>
          <w:lang w:val="en-US" w:eastAsia="zh-CN" w:bidi="ar"/>
        </w:rPr>
        <w:t>（二）通过初评后的材料报送</w:t>
      </w:r>
    </w:p>
    <w:p w14:paraId="2B13641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1.成果奖申报评审表（.doc格式）及成果附件、证明材料（.pdf格式），只能由学校管理部门账号进行上传，个人用户账号没有操作权限。通过校内评审的申请人准备好申报材料后，须交由科技处统一上传到申报系统中。</w:t>
      </w:r>
    </w:p>
    <w:p w14:paraId="6719EC4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2.成果奖申报评审表按要求填写，并补充成果附件（请提供全文，多卷本著作如提供成果全文电子版确有困难，可提交成果主要内容，以供评审专家审阅）和证明材料附件，附件允许有多个，但每个附件文件最大不得超过50Mb，且文件格式必须是PDF，遇到诸如著作类的成果附件大于50Mb时，须将其拆分为多个PDF文件并按顺序分别上传；待申报信息完备后，点击“提交”，提交后即为学校审核通过，之后如发现还要进行修改的，请先审核为“退回修改”，修改完成后再点“审核”设为学校审核通过即可。</w:t>
      </w:r>
    </w:p>
    <w:p w14:paraId="7EEF7B0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联系人：马衍阳15984964219、刘虹杉18583886160</w:t>
      </w:r>
    </w:p>
    <w:p w14:paraId="02AF3DC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jc w:val="both"/>
        <w:textAlignment w:val="auto"/>
        <w:rPr>
          <w:rFonts w:hint="eastAsia" w:ascii="宋体" w:hAnsi="宋体" w:eastAsia="宋体" w:cs="宋体"/>
          <w:i w:val="0"/>
          <w:iCs w:val="0"/>
          <w:caps w:val="0"/>
          <w:color w:val="2A2F35"/>
          <w:spacing w:val="0"/>
          <w:sz w:val="24"/>
          <w:szCs w:val="24"/>
        </w:rPr>
      </w:pPr>
    </w:p>
    <w:p w14:paraId="062728A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p>
    <w:p w14:paraId="4DE5F41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p>
    <w:p w14:paraId="2F28BA7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p>
    <w:p w14:paraId="2CF768E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bookmarkStart w:id="0" w:name="_GoBack"/>
      <w:bookmarkEnd w:id="0"/>
      <w:r>
        <w:rPr>
          <w:rFonts w:hint="eastAsia" w:ascii="宋体" w:hAnsi="宋体" w:eastAsia="宋体" w:cs="宋体"/>
          <w:i w:val="0"/>
          <w:iCs w:val="0"/>
          <w:caps w:val="0"/>
          <w:color w:val="2A2F35"/>
          <w:spacing w:val="0"/>
          <w:kern w:val="0"/>
          <w:sz w:val="24"/>
          <w:szCs w:val="24"/>
          <w:shd w:val="clear" w:fill="FFFFFF"/>
          <w:lang w:val="en-US" w:eastAsia="zh-CN" w:bidi="ar"/>
        </w:rPr>
        <w:t>附件1：《四川省教育科学规划领导小组办公室关于开展“第十届教育部科学研究优秀成果奖(人文社会科学)‘教育科学研究’专区”申报的通知》</w:t>
      </w:r>
    </w:p>
    <w:p w14:paraId="493764D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附件2：《第十届教育部科学研究优秀成果奖(人文社会科学)“教育科学研究”专区申报评审表》(简称《专区申报评审表》</w:t>
      </w:r>
    </w:p>
    <w:p w14:paraId="497BEAF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r>
        <w:rPr>
          <w:rFonts w:hint="eastAsia" w:ascii="宋体" w:hAnsi="宋体" w:eastAsia="宋体" w:cs="宋体"/>
          <w:i w:val="0"/>
          <w:iCs w:val="0"/>
          <w:caps w:val="0"/>
          <w:color w:val="2A2F35"/>
          <w:spacing w:val="0"/>
          <w:kern w:val="0"/>
          <w:sz w:val="24"/>
          <w:szCs w:val="24"/>
          <w:shd w:val="clear" w:fill="FFFFFF"/>
          <w:lang w:val="en-US" w:eastAsia="zh-CN" w:bidi="ar"/>
        </w:rPr>
        <w:t>附件3：第十届教育部科学研究优秀成果奖(人文社会科学)“教育科学研究”专区申报汇总表》</w:t>
      </w:r>
    </w:p>
    <w:p w14:paraId="2F65546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right"/>
        <w:textAlignment w:val="auto"/>
        <w:rPr>
          <w:rFonts w:hint="eastAsia" w:ascii="宋体" w:hAnsi="宋体" w:eastAsia="宋体" w:cs="宋体"/>
          <w:i w:val="0"/>
          <w:iCs w:val="0"/>
          <w:caps w:val="0"/>
          <w:color w:val="2A2F35"/>
          <w:spacing w:val="0"/>
          <w:kern w:val="0"/>
          <w:sz w:val="24"/>
          <w:szCs w:val="24"/>
          <w:shd w:val="clear" w:fill="FFFFFF"/>
          <w:lang w:val="en-US" w:eastAsia="zh-CN" w:bidi="ar"/>
        </w:rPr>
      </w:pPr>
    </w:p>
    <w:p w14:paraId="729EE47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right"/>
        <w:textAlignment w:val="auto"/>
        <w:rPr>
          <w:rFonts w:hint="eastAsia" w:ascii="宋体" w:hAnsi="宋体" w:eastAsia="宋体" w:cs="宋体"/>
          <w:i w:val="0"/>
          <w:iCs w:val="0"/>
          <w:caps w:val="0"/>
          <w:color w:val="2A2F35"/>
          <w:spacing w:val="0"/>
          <w:sz w:val="24"/>
          <w:szCs w:val="24"/>
        </w:rPr>
      </w:pPr>
      <w:r>
        <w:rPr>
          <w:rFonts w:hint="eastAsia" w:ascii="宋体" w:hAnsi="宋体" w:eastAsia="宋体" w:cs="宋体"/>
          <w:i w:val="0"/>
          <w:iCs w:val="0"/>
          <w:caps w:val="0"/>
          <w:color w:val="2A2F35"/>
          <w:spacing w:val="0"/>
          <w:kern w:val="0"/>
          <w:sz w:val="24"/>
          <w:szCs w:val="24"/>
          <w:shd w:val="clear" w:fill="FFFFFF"/>
          <w:lang w:val="en-US" w:eastAsia="zh-CN" w:bidi="ar"/>
        </w:rPr>
        <w:t>科技处</w:t>
      </w:r>
    </w:p>
    <w:p w14:paraId="0470907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right"/>
        <w:textAlignment w:val="auto"/>
        <w:rPr>
          <w:rFonts w:hint="eastAsia" w:ascii="宋体" w:hAnsi="宋体" w:eastAsia="宋体" w:cs="宋体"/>
          <w:i w:val="0"/>
          <w:iCs w:val="0"/>
          <w:caps w:val="0"/>
          <w:color w:val="2A2F35"/>
          <w:spacing w:val="0"/>
          <w:sz w:val="24"/>
          <w:szCs w:val="24"/>
        </w:rPr>
      </w:pPr>
      <w:r>
        <w:rPr>
          <w:rFonts w:hint="eastAsia" w:ascii="宋体" w:hAnsi="宋体" w:eastAsia="宋体" w:cs="宋体"/>
          <w:i w:val="0"/>
          <w:iCs w:val="0"/>
          <w:caps w:val="0"/>
          <w:color w:val="2A2F35"/>
          <w:spacing w:val="0"/>
          <w:kern w:val="0"/>
          <w:sz w:val="24"/>
          <w:szCs w:val="24"/>
          <w:shd w:val="clear" w:fill="FFFFFF"/>
          <w:lang w:val="en-US" w:eastAsia="zh-CN" w:bidi="ar"/>
        </w:rPr>
        <w:t>2025年10月29日</w:t>
      </w:r>
    </w:p>
    <w:p w14:paraId="2CF8194A">
      <w:pPr>
        <w:keepNext w:val="0"/>
        <w:keepLines w:val="0"/>
        <w:pageBreakBefore w:val="0"/>
        <w:kinsoku/>
        <w:wordWrap/>
        <w:overflowPunct/>
        <w:topLinePunct w:val="0"/>
        <w:autoSpaceDE/>
        <w:autoSpaceDN/>
        <w:bidi w:val="0"/>
        <w:adjustRightInd/>
        <w:snapToGrid/>
        <w:spacing w:line="360" w:lineRule="auto"/>
        <w:ind w:firstLine="480" w:firstLineChars="200"/>
        <w:jc w:val="right"/>
        <w:textAlignment w:val="auto"/>
        <w:rPr>
          <w:rFonts w:hint="eastAsia" w:ascii="宋体" w:hAnsi="宋体" w:eastAsia="宋体" w:cs="宋体"/>
          <w:sz w:val="24"/>
          <w:szCs w:val="24"/>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CFFD5">
    <w:pPr>
      <w:spacing w:before="1" w:line="234" w:lineRule="auto"/>
      <w:ind w:left="0" w:leftChars="0" w:firstLine="0" w:firstLineChars="0"/>
      <w:rPr>
        <w:rFonts w:ascii="宋体" w:hAnsi="宋体" w:eastAsia="宋体" w:cs="宋体"/>
        <w:sz w:val="30"/>
        <w:szCs w:val="3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D82D1B"/>
    <w:multiLevelType w:val="multilevel"/>
    <w:tmpl w:val="31D82D1B"/>
    <w:lvl w:ilvl="0" w:tentative="0">
      <w:start w:val="1"/>
      <w:numFmt w:val="decimal"/>
      <w:lvlText w:val="%1."/>
      <w:lvlJc w:val="left"/>
      <w:pPr>
        <w:ind w:left="432" w:hanging="432"/>
      </w:pPr>
      <w:rPr>
        <w:rFonts w:hint="default"/>
      </w:rPr>
    </w:lvl>
    <w:lvl w:ilvl="1" w:tentative="0">
      <w:start w:val="1"/>
      <w:numFmt w:val="decimal"/>
      <w:pStyle w:val="7"/>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pStyle w:val="2"/>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C47971"/>
    <w:rsid w:val="00493714"/>
    <w:rsid w:val="01A33CFB"/>
    <w:rsid w:val="03E86584"/>
    <w:rsid w:val="09630EDC"/>
    <w:rsid w:val="0E941B37"/>
    <w:rsid w:val="12635096"/>
    <w:rsid w:val="13FA41EA"/>
    <w:rsid w:val="14B87D95"/>
    <w:rsid w:val="183E3390"/>
    <w:rsid w:val="1B9211AC"/>
    <w:rsid w:val="1BB2184F"/>
    <w:rsid w:val="1C2E5482"/>
    <w:rsid w:val="1D2350EE"/>
    <w:rsid w:val="1F3D33CE"/>
    <w:rsid w:val="202D3B9A"/>
    <w:rsid w:val="20AB62E8"/>
    <w:rsid w:val="23733FB9"/>
    <w:rsid w:val="288A0D62"/>
    <w:rsid w:val="2A1D315E"/>
    <w:rsid w:val="2D986AF6"/>
    <w:rsid w:val="32601632"/>
    <w:rsid w:val="37107A87"/>
    <w:rsid w:val="377E0211"/>
    <w:rsid w:val="386978DD"/>
    <w:rsid w:val="3E6D3687"/>
    <w:rsid w:val="49787384"/>
    <w:rsid w:val="4BD5286C"/>
    <w:rsid w:val="4D2E5F21"/>
    <w:rsid w:val="4EC47971"/>
    <w:rsid w:val="504771A6"/>
    <w:rsid w:val="54617393"/>
    <w:rsid w:val="57710F33"/>
    <w:rsid w:val="5CC860CC"/>
    <w:rsid w:val="61023CAB"/>
    <w:rsid w:val="62F01186"/>
    <w:rsid w:val="6A3871FF"/>
    <w:rsid w:val="6ADD6E0F"/>
    <w:rsid w:val="6DA4377E"/>
    <w:rsid w:val="6E220985"/>
    <w:rsid w:val="708A37E1"/>
    <w:rsid w:val="724E4528"/>
    <w:rsid w:val="761C5931"/>
    <w:rsid w:val="76A038F3"/>
    <w:rsid w:val="7B5316C8"/>
    <w:rsid w:val="7E336A3A"/>
    <w:rsid w:val="7EAF2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